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香港恒生管理学院2018年招收内地本科生信息表</w:t>
      </w:r>
    </w:p>
    <w:p>
      <w:pPr>
        <w:jc w:val="center"/>
        <w:rPr>
          <w:rFonts w:hint="eastAsia" w:eastAsia="宋体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（供申请学生参考用）</w:t>
      </w:r>
    </w:p>
    <w:tbl>
      <w:tblPr>
        <w:tblStyle w:val="5"/>
        <w:tblW w:w="138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"/>
        <w:gridCol w:w="997"/>
        <w:gridCol w:w="1319"/>
        <w:gridCol w:w="1321"/>
        <w:gridCol w:w="1322"/>
        <w:gridCol w:w="2114"/>
        <w:gridCol w:w="1045"/>
        <w:gridCol w:w="1064"/>
        <w:gridCol w:w="3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tblHeader/>
        </w:trPr>
        <w:tc>
          <w:tcPr>
            <w:tcW w:w="1019" w:type="dxa"/>
            <w:vMerge w:val="restart"/>
            <w:shd w:val="clear" w:color="auto" w:fill="E6E6E6"/>
            <w:vAlign w:val="top"/>
          </w:tcPr>
          <w:p>
            <w:pPr>
              <w:rPr>
                <w:rFonts w:eastAsia="宋体"/>
                <w:b/>
                <w:sz w:val="20"/>
                <w:szCs w:val="20"/>
                <w:lang w:eastAsia="zh-TW"/>
              </w:rPr>
            </w:pPr>
            <w:r>
              <w:rPr>
                <w:rFonts w:hint="eastAsia" w:hAnsi="PMingLiU" w:eastAsia="宋体"/>
                <w:b/>
                <w:sz w:val="20"/>
                <w:szCs w:val="20"/>
              </w:rPr>
              <w:t>院校名称</w:t>
            </w:r>
          </w:p>
        </w:tc>
        <w:tc>
          <w:tcPr>
            <w:tcW w:w="997" w:type="dxa"/>
            <w:vMerge w:val="restart"/>
            <w:shd w:val="clear" w:color="auto" w:fill="E6E6E6"/>
            <w:vAlign w:val="top"/>
          </w:tcPr>
          <w:p>
            <w:pPr>
              <w:jc w:val="center"/>
              <w:rPr>
                <w:rFonts w:eastAsia="宋体"/>
                <w:b/>
                <w:sz w:val="20"/>
                <w:szCs w:val="20"/>
                <w:lang w:eastAsia="zh-TW"/>
              </w:rPr>
            </w:pPr>
            <w:r>
              <w:rPr>
                <w:rFonts w:hint="eastAsia" w:hAnsi="PMingLiU" w:eastAsia="宋体"/>
                <w:b/>
                <w:sz w:val="20"/>
                <w:szCs w:val="20"/>
              </w:rPr>
              <w:t>截止报名日期</w:t>
            </w:r>
          </w:p>
        </w:tc>
        <w:tc>
          <w:tcPr>
            <w:tcW w:w="1319" w:type="dxa"/>
            <w:vMerge w:val="restart"/>
            <w:shd w:val="clear" w:color="auto" w:fill="E6E6E6"/>
            <w:vAlign w:val="top"/>
          </w:tcPr>
          <w:p>
            <w:pPr>
              <w:jc w:val="center"/>
              <w:rPr>
                <w:rFonts w:eastAsia="宋体"/>
                <w:b/>
                <w:sz w:val="20"/>
                <w:szCs w:val="20"/>
                <w:lang w:eastAsia="zh-TW"/>
              </w:rPr>
            </w:pPr>
            <w:r>
              <w:rPr>
                <w:rFonts w:hint="eastAsia" w:hAnsi="PMingLiU" w:eastAsia="宋体"/>
                <w:b/>
                <w:sz w:val="20"/>
                <w:szCs w:val="20"/>
              </w:rPr>
              <w:t>面试</w:t>
            </w:r>
            <w:r>
              <w:rPr>
                <w:rFonts w:eastAsia="宋体"/>
                <w:b/>
                <w:sz w:val="20"/>
                <w:szCs w:val="20"/>
              </w:rPr>
              <w:t>/</w:t>
            </w:r>
            <w:r>
              <w:rPr>
                <w:rFonts w:hint="eastAsia" w:hAnsi="PMingLiU" w:eastAsia="宋体"/>
                <w:b/>
                <w:sz w:val="20"/>
                <w:szCs w:val="20"/>
              </w:rPr>
              <w:t>笔试</w:t>
            </w:r>
          </w:p>
          <w:p>
            <w:pPr>
              <w:jc w:val="center"/>
              <w:rPr>
                <w:rFonts w:eastAsia="宋体"/>
                <w:b/>
                <w:sz w:val="20"/>
                <w:szCs w:val="20"/>
                <w:lang w:eastAsia="zh-TW"/>
              </w:rPr>
            </w:pPr>
            <w:r>
              <w:rPr>
                <w:rFonts w:hint="eastAsia" w:hAnsi="PMingLiU" w:eastAsia="宋体"/>
                <w:b/>
                <w:sz w:val="20"/>
                <w:szCs w:val="20"/>
              </w:rPr>
              <w:t>日期及地点</w:t>
            </w:r>
          </w:p>
        </w:tc>
        <w:tc>
          <w:tcPr>
            <w:tcW w:w="1321" w:type="dxa"/>
            <w:vMerge w:val="restart"/>
            <w:shd w:val="clear" w:color="auto" w:fill="E6E6E6"/>
            <w:vAlign w:val="top"/>
          </w:tcPr>
          <w:p>
            <w:pPr>
              <w:jc w:val="center"/>
              <w:rPr>
                <w:rFonts w:eastAsia="宋体"/>
                <w:b/>
                <w:sz w:val="20"/>
                <w:szCs w:val="20"/>
                <w:lang w:eastAsia="zh-TW"/>
              </w:rPr>
            </w:pPr>
            <w:r>
              <w:rPr>
                <w:rFonts w:hint="eastAsia" w:hAnsi="PMingLiU" w:eastAsia="宋体"/>
                <w:b/>
                <w:sz w:val="20"/>
                <w:szCs w:val="20"/>
              </w:rPr>
              <w:t>录取通知日期</w:t>
            </w:r>
          </w:p>
        </w:tc>
        <w:tc>
          <w:tcPr>
            <w:tcW w:w="1322" w:type="dxa"/>
            <w:vMerge w:val="restart"/>
            <w:shd w:val="clear" w:color="auto" w:fill="E6E6E6"/>
            <w:vAlign w:val="top"/>
          </w:tcPr>
          <w:p>
            <w:pPr>
              <w:jc w:val="center"/>
              <w:rPr>
                <w:rFonts w:eastAsia="宋体"/>
                <w:b/>
                <w:sz w:val="20"/>
                <w:szCs w:val="20"/>
                <w:lang w:eastAsia="zh-TW"/>
              </w:rPr>
            </w:pPr>
            <w:r>
              <w:rPr>
                <w:rFonts w:hint="eastAsia" w:hAnsi="PMingLiU" w:eastAsia="宋体"/>
                <w:b/>
                <w:sz w:val="20"/>
                <w:szCs w:val="20"/>
              </w:rPr>
              <w:t>学费</w:t>
            </w:r>
          </w:p>
          <w:p>
            <w:pPr>
              <w:jc w:val="center"/>
              <w:rPr>
                <w:rFonts w:eastAsia="宋体"/>
                <w:b/>
                <w:sz w:val="20"/>
                <w:szCs w:val="20"/>
                <w:lang w:eastAsia="zh-TW"/>
              </w:rPr>
            </w:pPr>
            <w:r>
              <w:rPr>
                <w:rFonts w:eastAsia="宋体"/>
                <w:b/>
                <w:sz w:val="20"/>
                <w:szCs w:val="20"/>
              </w:rPr>
              <w:t>(</w:t>
            </w:r>
            <w:r>
              <w:rPr>
                <w:rFonts w:hint="eastAsia" w:hAnsi="PMingLiU" w:eastAsia="宋体"/>
                <w:b/>
                <w:sz w:val="20"/>
                <w:szCs w:val="20"/>
              </w:rPr>
              <w:t>港币</w:t>
            </w:r>
            <w:r>
              <w:rPr>
                <w:rFonts w:eastAsia="宋体"/>
                <w:b/>
                <w:sz w:val="20"/>
                <w:szCs w:val="20"/>
              </w:rPr>
              <w:t>)</w:t>
            </w:r>
          </w:p>
        </w:tc>
        <w:tc>
          <w:tcPr>
            <w:tcW w:w="2114" w:type="dxa"/>
            <w:vMerge w:val="restart"/>
            <w:shd w:val="clear" w:color="auto" w:fill="E6E6E6"/>
            <w:vAlign w:val="top"/>
          </w:tcPr>
          <w:p>
            <w:pPr>
              <w:jc w:val="center"/>
              <w:rPr>
                <w:rFonts w:eastAsia="宋体"/>
                <w:b/>
                <w:sz w:val="20"/>
                <w:szCs w:val="20"/>
                <w:lang w:eastAsia="zh-TW"/>
              </w:rPr>
            </w:pPr>
            <w:r>
              <w:rPr>
                <w:rFonts w:hint="eastAsia" w:hAnsi="PMingLiU" w:eastAsia="宋体"/>
                <w:b/>
                <w:sz w:val="20"/>
                <w:szCs w:val="20"/>
              </w:rPr>
              <w:t>住宿费</w:t>
            </w:r>
          </w:p>
          <w:p>
            <w:pPr>
              <w:jc w:val="center"/>
              <w:rPr>
                <w:rFonts w:eastAsia="宋体"/>
                <w:b/>
                <w:sz w:val="20"/>
                <w:szCs w:val="20"/>
                <w:lang w:eastAsia="zh-TW"/>
              </w:rPr>
            </w:pPr>
            <w:r>
              <w:rPr>
                <w:rFonts w:eastAsia="宋体"/>
                <w:b/>
                <w:sz w:val="20"/>
                <w:szCs w:val="20"/>
              </w:rPr>
              <w:t>(</w:t>
            </w:r>
            <w:r>
              <w:rPr>
                <w:rFonts w:hint="eastAsia" w:hAnsi="PMingLiU" w:eastAsia="宋体"/>
                <w:b/>
                <w:sz w:val="20"/>
                <w:szCs w:val="20"/>
              </w:rPr>
              <w:t>港币</w:t>
            </w:r>
            <w:r>
              <w:rPr>
                <w:rFonts w:eastAsia="宋体"/>
                <w:b/>
                <w:sz w:val="20"/>
                <w:szCs w:val="20"/>
              </w:rPr>
              <w:t>)</w:t>
            </w:r>
          </w:p>
        </w:tc>
        <w:tc>
          <w:tcPr>
            <w:tcW w:w="5728" w:type="dxa"/>
            <w:gridSpan w:val="3"/>
            <w:shd w:val="clear" w:color="auto" w:fill="E6E6E6"/>
            <w:vAlign w:val="top"/>
          </w:tcPr>
          <w:p>
            <w:pPr>
              <w:jc w:val="center"/>
              <w:rPr>
                <w:rFonts w:eastAsia="宋体"/>
                <w:b/>
                <w:sz w:val="20"/>
                <w:szCs w:val="20"/>
                <w:lang w:eastAsia="zh-TW"/>
              </w:rPr>
            </w:pPr>
            <w:r>
              <w:rPr>
                <w:rFonts w:hint="eastAsia" w:hAnsi="PMingLiU" w:eastAsia="宋体"/>
                <w:b/>
                <w:sz w:val="20"/>
                <w:szCs w:val="20"/>
              </w:rPr>
              <w:t>查询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tblHeader/>
        </w:trPr>
        <w:tc>
          <w:tcPr>
            <w:tcW w:w="1019" w:type="dxa"/>
            <w:vMerge w:val="continue"/>
            <w:shd w:val="clear" w:color="auto" w:fill="E6E6E6"/>
            <w:vAlign w:val="top"/>
          </w:tcPr>
          <w:p>
            <w:pPr>
              <w:spacing w:line="240" w:lineRule="exact"/>
              <w:rPr>
                <w:rFonts w:eastAsia="宋体"/>
                <w:b/>
                <w:sz w:val="20"/>
                <w:szCs w:val="20"/>
                <w:lang w:eastAsia="zh-TW"/>
              </w:rPr>
            </w:pPr>
          </w:p>
        </w:tc>
        <w:tc>
          <w:tcPr>
            <w:tcW w:w="997" w:type="dxa"/>
            <w:vMerge w:val="continue"/>
            <w:shd w:val="clear" w:color="auto" w:fill="E6E6E6"/>
            <w:vAlign w:val="top"/>
          </w:tcPr>
          <w:p>
            <w:pPr>
              <w:spacing w:line="240" w:lineRule="exact"/>
              <w:rPr>
                <w:rFonts w:eastAsia="宋体"/>
                <w:b/>
                <w:sz w:val="20"/>
                <w:szCs w:val="20"/>
                <w:lang w:eastAsia="zh-TW"/>
              </w:rPr>
            </w:pPr>
          </w:p>
        </w:tc>
        <w:tc>
          <w:tcPr>
            <w:tcW w:w="1319" w:type="dxa"/>
            <w:vMerge w:val="continue"/>
            <w:shd w:val="clear" w:color="auto" w:fill="E6E6E6"/>
            <w:vAlign w:val="top"/>
          </w:tcPr>
          <w:p>
            <w:pPr>
              <w:spacing w:line="240" w:lineRule="exact"/>
              <w:rPr>
                <w:rFonts w:eastAsia="宋体"/>
                <w:b/>
                <w:sz w:val="20"/>
                <w:szCs w:val="20"/>
                <w:lang w:eastAsia="zh-TW"/>
              </w:rPr>
            </w:pPr>
          </w:p>
        </w:tc>
        <w:tc>
          <w:tcPr>
            <w:tcW w:w="1321" w:type="dxa"/>
            <w:vMerge w:val="continue"/>
            <w:shd w:val="clear" w:color="auto" w:fill="E6E6E6"/>
            <w:vAlign w:val="top"/>
          </w:tcPr>
          <w:p>
            <w:pPr>
              <w:spacing w:line="240" w:lineRule="exact"/>
              <w:rPr>
                <w:rFonts w:eastAsia="宋体"/>
                <w:b/>
                <w:sz w:val="20"/>
                <w:szCs w:val="20"/>
                <w:lang w:eastAsia="zh-TW"/>
              </w:rPr>
            </w:pPr>
          </w:p>
        </w:tc>
        <w:tc>
          <w:tcPr>
            <w:tcW w:w="1322" w:type="dxa"/>
            <w:vMerge w:val="continue"/>
            <w:shd w:val="clear" w:color="auto" w:fill="E6E6E6"/>
            <w:vAlign w:val="top"/>
          </w:tcPr>
          <w:p>
            <w:pPr>
              <w:spacing w:line="240" w:lineRule="exact"/>
              <w:rPr>
                <w:rFonts w:eastAsia="宋体"/>
                <w:b/>
                <w:sz w:val="20"/>
                <w:szCs w:val="20"/>
                <w:lang w:eastAsia="zh-TW"/>
              </w:rPr>
            </w:pPr>
          </w:p>
        </w:tc>
        <w:tc>
          <w:tcPr>
            <w:tcW w:w="2114" w:type="dxa"/>
            <w:vMerge w:val="continue"/>
            <w:shd w:val="clear" w:color="auto" w:fill="E6E6E6"/>
            <w:vAlign w:val="top"/>
          </w:tcPr>
          <w:p>
            <w:pPr>
              <w:rPr>
                <w:rFonts w:eastAsia="宋体"/>
                <w:b/>
                <w:sz w:val="20"/>
                <w:szCs w:val="20"/>
                <w:lang w:eastAsia="zh-TW"/>
              </w:rPr>
            </w:pPr>
          </w:p>
        </w:tc>
        <w:tc>
          <w:tcPr>
            <w:tcW w:w="1045" w:type="dxa"/>
            <w:shd w:val="clear" w:color="auto" w:fill="E6E6E6"/>
            <w:vAlign w:val="top"/>
          </w:tcPr>
          <w:p>
            <w:pPr>
              <w:spacing w:line="240" w:lineRule="exact"/>
              <w:jc w:val="center"/>
              <w:rPr>
                <w:rFonts w:eastAsia="宋体"/>
                <w:b/>
                <w:sz w:val="20"/>
                <w:szCs w:val="20"/>
                <w:lang w:eastAsia="zh-TW"/>
              </w:rPr>
            </w:pPr>
            <w:r>
              <w:rPr>
                <w:rFonts w:hint="eastAsia" w:hAnsi="PMingLiU" w:eastAsia="宋体"/>
                <w:b/>
                <w:sz w:val="20"/>
                <w:szCs w:val="20"/>
              </w:rPr>
              <w:t>电话</w:t>
            </w:r>
          </w:p>
        </w:tc>
        <w:tc>
          <w:tcPr>
            <w:tcW w:w="1064" w:type="dxa"/>
            <w:shd w:val="clear" w:color="auto" w:fill="E6E6E6"/>
            <w:vAlign w:val="top"/>
          </w:tcPr>
          <w:p>
            <w:pPr>
              <w:spacing w:line="240" w:lineRule="exact"/>
              <w:jc w:val="center"/>
              <w:rPr>
                <w:rFonts w:eastAsia="宋体"/>
                <w:b/>
                <w:sz w:val="20"/>
                <w:szCs w:val="20"/>
                <w:lang w:eastAsia="zh-TW"/>
              </w:rPr>
            </w:pPr>
            <w:r>
              <w:rPr>
                <w:rFonts w:hint="eastAsia" w:hAnsi="PMingLiU" w:eastAsia="宋体"/>
                <w:b/>
                <w:sz w:val="20"/>
                <w:szCs w:val="20"/>
              </w:rPr>
              <w:t>传真</w:t>
            </w:r>
          </w:p>
        </w:tc>
        <w:tc>
          <w:tcPr>
            <w:tcW w:w="3619" w:type="dxa"/>
            <w:shd w:val="clear" w:color="auto" w:fill="E6E6E6"/>
            <w:vAlign w:val="top"/>
          </w:tcPr>
          <w:p>
            <w:pPr>
              <w:spacing w:line="240" w:lineRule="exact"/>
              <w:jc w:val="center"/>
              <w:rPr>
                <w:rFonts w:eastAsia="宋体"/>
                <w:b/>
                <w:sz w:val="20"/>
                <w:szCs w:val="20"/>
                <w:lang w:eastAsia="zh-TW"/>
              </w:rPr>
            </w:pPr>
            <w:r>
              <w:rPr>
                <w:rFonts w:hint="eastAsia" w:eastAsia="宋体"/>
                <w:b/>
                <w:sz w:val="20"/>
                <w:szCs w:val="20"/>
              </w:rPr>
              <w:t>电邮</w:t>
            </w:r>
            <w:r>
              <w:rPr>
                <w:rFonts w:eastAsia="宋体"/>
                <w:b/>
                <w:sz w:val="20"/>
                <w:szCs w:val="20"/>
              </w:rPr>
              <w:t>及</w:t>
            </w:r>
            <w:r>
              <w:rPr>
                <w:rFonts w:hint="eastAsia" w:eastAsia="宋体"/>
                <w:b/>
                <w:sz w:val="20"/>
                <w:szCs w:val="20"/>
              </w:rPr>
              <w:t>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6" w:hRule="atLeast"/>
        </w:trPr>
        <w:tc>
          <w:tcPr>
            <w:tcW w:w="1019" w:type="dxa"/>
            <w:tcBorders>
              <w:bottom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ascii="宋体" w:hAnsi="宋体" w:eastAsia="宋体"/>
                <w:sz w:val="20"/>
                <w:szCs w:val="20"/>
                <w:lang w:eastAsia="zh-TW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香港恒生管理学院</w:t>
            </w:r>
          </w:p>
        </w:tc>
        <w:tc>
          <w:tcPr>
            <w:tcW w:w="997" w:type="dxa"/>
            <w:tcBorders>
              <w:bottom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网上申请</w:t>
            </w:r>
            <w:r>
              <w:rPr>
                <w:rFonts w:ascii="宋体" w:hAnsi="宋体" w:eastAsia="宋体"/>
                <w:sz w:val="20"/>
                <w:szCs w:val="20"/>
              </w:rPr>
              <w:t>:</w:t>
            </w:r>
          </w:p>
          <w:p>
            <w:pPr>
              <w:spacing w:line="240" w:lineRule="exact"/>
              <w:rPr>
                <w:rFonts w:ascii="宋体" w:hAnsi="宋体" w:eastAsia="宋体"/>
                <w:sz w:val="20"/>
                <w:szCs w:val="20"/>
                <w:lang w:eastAsia="zh-TW"/>
              </w:rPr>
            </w:pPr>
            <w:r>
              <w:rPr>
                <w:rFonts w:eastAsia="宋体"/>
                <w:sz w:val="20"/>
                <w:szCs w:val="20"/>
              </w:rPr>
              <w:t>6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月</w:t>
            </w:r>
            <w:r>
              <w:rPr>
                <w:rFonts w:eastAsia="宋体"/>
                <w:sz w:val="20"/>
                <w:szCs w:val="20"/>
              </w:rPr>
              <w:t>15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日</w:t>
            </w:r>
          </w:p>
        </w:tc>
        <w:tc>
          <w:tcPr>
            <w:tcW w:w="1319" w:type="dxa"/>
            <w:tcBorders>
              <w:bottom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暂定于</w:t>
            </w:r>
            <w:r>
              <w:rPr>
                <w:rFonts w:eastAsia="宋体"/>
                <w:sz w:val="20"/>
                <w:szCs w:val="20"/>
              </w:rPr>
              <w:t>6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月中旬在广东省进行笔试</w:t>
            </w:r>
            <w:r>
              <w:rPr>
                <w:rFonts w:ascii="宋体" w:hAnsi="宋体" w:eastAsia="宋体"/>
                <w:sz w:val="20"/>
                <w:szCs w:val="20"/>
              </w:rPr>
              <w:t>/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面试，合资格同学将收到本校的电邮邀请，参与考核。</w:t>
            </w:r>
          </w:p>
        </w:tc>
        <w:tc>
          <w:tcPr>
            <w:tcW w:w="1321" w:type="dxa"/>
            <w:tcBorders>
              <w:bottom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7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月</w:t>
            </w:r>
            <w:r>
              <w:rPr>
                <w:rFonts w:eastAsia="宋体"/>
                <w:sz w:val="20"/>
                <w:szCs w:val="20"/>
              </w:rPr>
              <w:t>7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日前公布录取名单。获录取的同学必须于指定限期缴付留位费，确认接受录取。</w:t>
            </w:r>
          </w:p>
        </w:tc>
        <w:tc>
          <w:tcPr>
            <w:tcW w:w="1322" w:type="dxa"/>
            <w:tcBorders>
              <w:bottom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本科课程的修读年期一般为四年。</w:t>
            </w:r>
            <w:r>
              <w:rPr>
                <w:rFonts w:eastAsia="宋体"/>
                <w:sz w:val="20"/>
                <w:szCs w:val="20"/>
              </w:rPr>
              <w:t>2018-19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年度入学之内地生将缴付以下学费：</w:t>
            </w:r>
          </w:p>
          <w:p>
            <w:pPr>
              <w:spacing w:line="240" w:lineRule="exac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第一</w:t>
            </w:r>
            <w:r>
              <w:rPr>
                <w:rFonts w:ascii="宋体" w:hAnsi="宋体" w:eastAsia="宋体"/>
                <w:sz w:val="20"/>
                <w:szCs w:val="20"/>
              </w:rPr>
              <w:t>/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二年：港币</w:t>
            </w:r>
            <w:r>
              <w:rPr>
                <w:rFonts w:eastAsia="宋体"/>
                <w:sz w:val="20"/>
                <w:szCs w:val="20"/>
              </w:rPr>
              <w:t>120,300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元</w:t>
            </w:r>
          </w:p>
          <w:p>
            <w:pPr>
              <w:spacing w:line="240" w:lineRule="exac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第三</w:t>
            </w:r>
            <w:r>
              <w:rPr>
                <w:rFonts w:ascii="宋体" w:hAnsi="宋体" w:eastAsia="宋体"/>
                <w:sz w:val="20"/>
                <w:szCs w:val="20"/>
              </w:rPr>
              <w:t>/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四年：港币</w:t>
            </w:r>
          </w:p>
          <w:p>
            <w:pPr>
              <w:spacing w:line="240" w:lineRule="exac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136,200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元</w:t>
            </w:r>
          </w:p>
        </w:tc>
        <w:tc>
          <w:tcPr>
            <w:tcW w:w="2114" w:type="dxa"/>
            <w:tcBorders>
              <w:bottom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提供住宿书院，合共</w:t>
            </w:r>
            <w:r>
              <w:rPr>
                <w:rFonts w:eastAsia="宋体"/>
                <w:sz w:val="20"/>
                <w:szCs w:val="20"/>
              </w:rPr>
              <w:t>1,200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個宿位。住宿费港币</w:t>
            </w:r>
            <w:r>
              <w:rPr>
                <w:rFonts w:ascii="宋体" w:hAnsi="宋体" w:eastAsia="宋体"/>
                <w:sz w:val="20"/>
                <w:szCs w:val="20"/>
              </w:rPr>
              <w:t>$</w:t>
            </w:r>
            <w:r>
              <w:rPr>
                <w:rFonts w:eastAsia="宋体"/>
                <w:sz w:val="20"/>
                <w:szCs w:val="20"/>
              </w:rPr>
              <w:t>14,000</w:t>
            </w:r>
            <w:r>
              <w:rPr>
                <w:rFonts w:ascii="宋体" w:hAnsi="宋体" w:eastAsia="宋体"/>
                <w:sz w:val="20"/>
                <w:szCs w:val="20"/>
              </w:rPr>
              <w:t xml:space="preserve"> - $</w:t>
            </w:r>
            <w:r>
              <w:rPr>
                <w:rFonts w:eastAsia="宋体"/>
                <w:sz w:val="20"/>
                <w:szCs w:val="20"/>
              </w:rPr>
              <w:t>17,000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不等</w:t>
            </w:r>
            <w:r>
              <w:rPr>
                <w:rFonts w:ascii="宋体" w:hAnsi="宋体" w:eastAsia="宋体"/>
                <w:sz w:val="20"/>
                <w:szCs w:val="20"/>
              </w:rPr>
              <w:t>(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双人间至四人间，以两个学期十个月计算</w:t>
            </w:r>
            <w:r>
              <w:rPr>
                <w:rFonts w:ascii="宋体" w:hAnsi="宋体" w:eastAsia="宋体"/>
                <w:sz w:val="20"/>
                <w:szCs w:val="20"/>
              </w:rPr>
              <w:t xml:space="preserve">) </w:t>
            </w:r>
            <w:r>
              <w:rPr>
                <w:rFonts w:eastAsia="宋体"/>
                <w:sz w:val="20"/>
                <w:szCs w:val="20"/>
              </w:rPr>
              <w:t>(https://rc.hsmc.edu.hk/)</w:t>
            </w:r>
          </w:p>
        </w:tc>
        <w:tc>
          <w:tcPr>
            <w:tcW w:w="1045" w:type="dxa"/>
            <w:tcBorders>
              <w:bottom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eastAsia="宋体"/>
                <w:sz w:val="20"/>
                <w:szCs w:val="20"/>
                <w:lang w:eastAsia="zh-TW"/>
              </w:rPr>
            </w:pPr>
            <w:r>
              <w:rPr>
                <w:rFonts w:eastAsia="宋体"/>
                <w:sz w:val="20"/>
                <w:szCs w:val="20"/>
              </w:rPr>
              <w:t>852-39635555</w:t>
            </w:r>
          </w:p>
        </w:tc>
        <w:tc>
          <w:tcPr>
            <w:tcW w:w="1064" w:type="dxa"/>
            <w:tcBorders>
              <w:bottom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eastAsia="宋体"/>
                <w:sz w:val="20"/>
                <w:szCs w:val="20"/>
                <w:lang w:eastAsia="zh-TW"/>
              </w:rPr>
            </w:pPr>
            <w:r>
              <w:rPr>
                <w:rFonts w:eastAsia="宋体"/>
                <w:sz w:val="20"/>
                <w:szCs w:val="20"/>
              </w:rPr>
              <w:t>852-39635553</w:t>
            </w:r>
          </w:p>
        </w:tc>
        <w:tc>
          <w:tcPr>
            <w:tcW w:w="3619" w:type="dxa"/>
            <w:tcBorders>
              <w:bottom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电邮</w:t>
            </w:r>
          </w:p>
          <w:p>
            <w:pPr>
              <w:spacing w:line="240" w:lineRule="exact"/>
              <w:rPr>
                <w:rFonts w:eastAsia="宋体"/>
                <w:sz w:val="20"/>
                <w:szCs w:val="20"/>
                <w:lang w:eastAsia="zh-TW"/>
              </w:rPr>
            </w:pPr>
            <w:r>
              <w:fldChar w:fldCharType="begin"/>
            </w:r>
            <w:r>
              <w:instrText xml:space="preserve">HYPERLINK "mailto:ugadmission@hsmc.edu.hk" </w:instrText>
            </w:r>
            <w:r>
              <w:fldChar w:fldCharType="separate"/>
            </w:r>
            <w:r>
              <w:rPr>
                <w:rStyle w:val="4"/>
                <w:rFonts w:eastAsia="宋体"/>
                <w:color w:val="auto"/>
                <w:sz w:val="20"/>
                <w:szCs w:val="20"/>
                <w:u w:val="none"/>
              </w:rPr>
              <w:t>ugadmission@hsmc.edu.hk</w:t>
            </w:r>
            <w:r>
              <w:fldChar w:fldCharType="end"/>
            </w:r>
          </w:p>
          <w:p>
            <w:pPr>
              <w:spacing w:line="240" w:lineRule="exact"/>
              <w:rPr>
                <w:rFonts w:ascii="宋体" w:hAnsi="宋体" w:eastAsia="宋体"/>
                <w:sz w:val="20"/>
                <w:szCs w:val="20"/>
              </w:rPr>
            </w:pPr>
          </w:p>
          <w:p>
            <w:pPr>
              <w:spacing w:line="240" w:lineRule="exact"/>
              <w:rPr>
                <w:rFonts w:ascii="宋体" w:hAnsi="宋体" w:eastAsia="宋体"/>
                <w:sz w:val="20"/>
                <w:szCs w:val="20"/>
                <w:lang w:eastAsia="zh-TW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网址</w:t>
            </w:r>
            <w:r>
              <w:rPr>
                <w:rFonts w:eastAsia="宋体"/>
                <w:sz w:val="20"/>
                <w:szCs w:val="20"/>
              </w:rPr>
              <w:t>https://registry.hsmc.edu.hk/hk/prospective-students/undergraduate/jee/programmes-offered/</w:t>
            </w:r>
          </w:p>
        </w:tc>
      </w:tr>
    </w:tbl>
    <w:p/>
    <w:sectPr>
      <w:pgSz w:w="15840" w:h="12240" w:orient="landscape"/>
      <w:pgMar w:top="1800" w:right="1440" w:bottom="1800" w:left="14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doNotWrapTextWithPunct/>
    <w:useFELayout/>
    <w:doNotUseIndentAsNumberingTabStop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0E55030C"/>
    <w:rsid w:val="6A37001B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after="200" w:line="276" w:lineRule="auto"/>
    </w:pPr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unhideWhenUsed/>
    <w:uiPriority w:val="0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header"/>
    <w:basedOn w:val="1"/>
    <w:unhideWhenUsed/>
    <w:uiPriority w:val="0"/>
    <w:pPr>
      <w:tabs>
        <w:tab w:val="center" w:pos="4680"/>
        <w:tab w:val="right" w:pos="9360"/>
      </w:tabs>
      <w:spacing w:after="0" w:line="240" w:lineRule="auto"/>
    </w:pPr>
  </w:style>
  <w:style w:type="character" w:styleId="4">
    <w:name w:val="Hyperlink"/>
    <w:basedOn w:val="3"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2018-05-18T10:01:00Z</dcterms:created>
  <cp:lastModifiedBy>dell</cp:lastModifiedBy>
  <dcterms:modified xsi:type="dcterms:W3CDTF">2018-05-18T10:12:18Z</dcterms:modified>
  <dc:title>香港院校2018年招收内地本科生一览表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